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Case Study Organizer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15-year-old:  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89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485"/>
        <w:gridCol w:w="4410"/>
        <w:tblGridChange w:id="0">
          <w:tblGrid>
            <w:gridCol w:w="4485"/>
            <w:gridCol w:w="4410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abf8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and describe: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abf8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Impact on behaviour/life experience:</w:t>
            </w:r>
          </w:p>
        </w:tc>
      </w:tr>
      <w:tr>
        <w:trPr>
          <w:trHeight w:val="206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Norms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25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Roles/Expectations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25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Institutions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a1c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Explain what/who has impacted his/her </w:t>
            </w:r>
            <w:r w:rsidDel="00000000" w:rsidR="00000000" w:rsidRPr="00000000">
              <w:rPr>
                <w:rtl w:val="0"/>
              </w:rPr>
              <w:t xml:space="preserve">future: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8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Educational Options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258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Career Options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258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Relationships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